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38B1F" w14:textId="2B253516" w:rsidR="008A7BBB" w:rsidRDefault="00A06851" w:rsidP="00A06851">
      <w:pPr>
        <w:pStyle w:val="Heading1"/>
      </w:pPr>
      <w:r>
        <w:t xml:space="preserve">Submission by </w:t>
      </w:r>
      <w:r w:rsidR="000A2034">
        <w:t>(your name</w:t>
      </w:r>
      <w:proofErr w:type="gramStart"/>
      <w:r w:rsidR="000A2034">
        <w:t xml:space="preserve">) </w:t>
      </w:r>
      <w:r>
        <w:t xml:space="preserve"> re</w:t>
      </w:r>
      <w:proofErr w:type="gramEnd"/>
      <w:r>
        <w:t xml:space="preserve"> AIB prevailing rate </w:t>
      </w:r>
    </w:p>
    <w:p w14:paraId="735EB013" w14:textId="4B3AE383" w:rsidR="00BC26AF" w:rsidRDefault="00BC26AF"/>
    <w:p w14:paraId="0F680690" w14:textId="0C55BF6C" w:rsidR="00A06851" w:rsidRDefault="00030B0B">
      <w:r>
        <w:t>On [</w:t>
      </w:r>
      <w:r w:rsidR="000A2034">
        <w:t>date</w:t>
      </w:r>
      <w:r>
        <w:t>]</w:t>
      </w:r>
      <w:r w:rsidR="000A2034">
        <w:t xml:space="preserve">, </w:t>
      </w:r>
      <w:proofErr w:type="gramStart"/>
      <w:r w:rsidR="000A2034">
        <w:t xml:space="preserve">I </w:t>
      </w:r>
      <w:r w:rsidR="00BC26AF">
        <w:t xml:space="preserve"> signed</w:t>
      </w:r>
      <w:proofErr w:type="gramEnd"/>
      <w:r w:rsidR="00BC26AF">
        <w:t xml:space="preserve"> up for a mortgage product </w:t>
      </w:r>
      <w:r w:rsidR="00A06851">
        <w:t xml:space="preserve">where the initial rate was fixed for </w:t>
      </w:r>
      <w:r w:rsidR="000A2034">
        <w:t xml:space="preserve">x </w:t>
      </w:r>
      <w:r w:rsidR="00A06851">
        <w:t xml:space="preserve"> years. </w:t>
      </w:r>
    </w:p>
    <w:p w14:paraId="0172A770" w14:textId="7877A3D6" w:rsidR="00A06851" w:rsidRDefault="00A06851">
      <w:r>
        <w:t>The mortgage contract contained the following clause 3.2</w:t>
      </w:r>
    </w:p>
    <w:p w14:paraId="3F3B4DFB" w14:textId="71AC4247" w:rsidR="00A06851" w:rsidRPr="00CC252B" w:rsidRDefault="00A06851" w:rsidP="00A06851">
      <w:pPr>
        <w:rPr>
          <w:i/>
        </w:rPr>
      </w:pPr>
      <w:r>
        <w:t xml:space="preserve"> “</w:t>
      </w:r>
      <w:r w:rsidRPr="00CC252B">
        <w:rPr>
          <w:i/>
        </w:rPr>
        <w:t xml:space="preserve">At the end of any fixed interest rate period, the customer may choose between: </w:t>
      </w:r>
    </w:p>
    <w:p w14:paraId="612B7710" w14:textId="77777777" w:rsidR="00A06851" w:rsidRPr="00CC252B" w:rsidRDefault="00A06851" w:rsidP="00A06851">
      <w:pPr>
        <w:pStyle w:val="ListParagraph"/>
        <w:numPr>
          <w:ilvl w:val="0"/>
          <w:numId w:val="4"/>
        </w:numPr>
        <w:rPr>
          <w:i/>
        </w:rPr>
      </w:pPr>
      <w:r w:rsidRPr="00CC252B">
        <w:rPr>
          <w:i/>
        </w:rPr>
        <w:t>A further fixed interest rate period, or</w:t>
      </w:r>
    </w:p>
    <w:p w14:paraId="5B839BB2" w14:textId="77777777" w:rsidR="00A06851" w:rsidRPr="00CC252B" w:rsidRDefault="00A06851" w:rsidP="00A06851">
      <w:pPr>
        <w:pStyle w:val="ListParagraph"/>
        <w:numPr>
          <w:ilvl w:val="0"/>
          <w:numId w:val="4"/>
        </w:numPr>
        <w:rPr>
          <w:i/>
        </w:rPr>
      </w:pPr>
      <w:r w:rsidRPr="00CC252B">
        <w:rPr>
          <w:i/>
        </w:rPr>
        <w:t>Conversion to a variable interest rate Mortgage Loan, or</w:t>
      </w:r>
    </w:p>
    <w:p w14:paraId="62F8D14E" w14:textId="506719CC" w:rsidR="00A06851" w:rsidRPr="00CC252B" w:rsidRDefault="00A06851" w:rsidP="00A06851">
      <w:pPr>
        <w:pStyle w:val="ListParagraph"/>
        <w:numPr>
          <w:ilvl w:val="0"/>
          <w:numId w:val="4"/>
        </w:numPr>
        <w:rPr>
          <w:i/>
        </w:rPr>
      </w:pPr>
      <w:r w:rsidRPr="00CC252B">
        <w:rPr>
          <w:i/>
        </w:rPr>
        <w:t xml:space="preserve">Conversion to a tracker interest rate Mortgage Loan, </w:t>
      </w:r>
    </w:p>
    <w:p w14:paraId="7E828EC6" w14:textId="77777777" w:rsidR="00A06851" w:rsidRDefault="00A06851" w:rsidP="00A06851">
      <w:pPr>
        <w:rPr>
          <w:i/>
        </w:rPr>
      </w:pPr>
      <w:r>
        <w:rPr>
          <w:i/>
        </w:rPr>
        <w:t xml:space="preserve">       </w:t>
      </w:r>
      <w:proofErr w:type="gramStart"/>
      <w:r>
        <w:rPr>
          <w:i/>
        </w:rPr>
        <w:t>a</w:t>
      </w:r>
      <w:r w:rsidRPr="00CC252B">
        <w:rPr>
          <w:i/>
        </w:rPr>
        <w:t>t</w:t>
      </w:r>
      <w:proofErr w:type="gramEnd"/>
      <w:r w:rsidRPr="00CC252B">
        <w:rPr>
          <w:i/>
        </w:rPr>
        <w:t xml:space="preserve"> the bank’s then prevailing rates appropriate to the Mortgage Loan.</w:t>
      </w:r>
      <w:r>
        <w:rPr>
          <w:i/>
        </w:rPr>
        <w:t>”</w:t>
      </w:r>
    </w:p>
    <w:p w14:paraId="7DDD6240" w14:textId="310F259D" w:rsidR="0010212A" w:rsidRPr="003B7EF2" w:rsidRDefault="0010212A" w:rsidP="00A06851">
      <w:r w:rsidRPr="003B7EF2">
        <w:t xml:space="preserve">Up until October 2008, when borrowers rolled off their fixed terms, they were indeed offered this choice. </w:t>
      </w:r>
    </w:p>
    <w:p w14:paraId="290994FC" w14:textId="2D539D23" w:rsidR="00A06851" w:rsidRDefault="00A06851">
      <w:r w:rsidRPr="003B7EF2">
        <w:t xml:space="preserve">So AIB </w:t>
      </w:r>
      <w:r w:rsidR="002201FE" w:rsidRPr="003B7EF2">
        <w:t xml:space="preserve">were contractually obliged to offer </w:t>
      </w:r>
      <w:proofErr w:type="gramStart"/>
      <w:r w:rsidR="000A2034">
        <w:t xml:space="preserve">me </w:t>
      </w:r>
      <w:r w:rsidR="002201FE" w:rsidRPr="003B7EF2">
        <w:t xml:space="preserve"> </w:t>
      </w:r>
      <w:r w:rsidRPr="003B7EF2">
        <w:t>those</w:t>
      </w:r>
      <w:proofErr w:type="gramEnd"/>
      <w:r w:rsidRPr="003B7EF2">
        <w:t xml:space="preserve"> choices including the then prevailing</w:t>
      </w:r>
      <w:r w:rsidR="007B1A57" w:rsidRPr="003B7EF2">
        <w:t xml:space="preserve"> tracker</w:t>
      </w:r>
      <w:r w:rsidRPr="003B7EF2">
        <w:t xml:space="preserve"> rate when </w:t>
      </w:r>
      <w:r w:rsidR="000A2034">
        <w:t xml:space="preserve">my </w:t>
      </w:r>
      <w:r w:rsidRPr="003B7EF2">
        <w:t xml:space="preserve"> fixed rate period expired. </w:t>
      </w:r>
      <w:r w:rsidR="0010212A" w:rsidRPr="003B7EF2">
        <w:t>But they did not do so.</w:t>
      </w:r>
    </w:p>
    <w:p w14:paraId="5ECC8A92" w14:textId="77777777" w:rsidR="000A2034" w:rsidRDefault="000A2034"/>
    <w:p w14:paraId="67ECF048" w14:textId="5A057883" w:rsidR="000A2034" w:rsidRPr="000A2034" w:rsidRDefault="000A2034">
      <w:pPr>
        <w:rPr>
          <w:b/>
        </w:rPr>
      </w:pPr>
      <w:r>
        <w:rPr>
          <w:b/>
        </w:rPr>
        <w:t xml:space="preserve">AIB did have a prevailing rate when my fixed rate ended but they did not offer it to me </w:t>
      </w:r>
    </w:p>
    <w:p w14:paraId="6A705290" w14:textId="729A156E" w:rsidR="000A2034" w:rsidRPr="000A2034" w:rsidRDefault="000A2034" w:rsidP="000A2034">
      <w:r w:rsidRPr="000A2034">
        <w:t xml:space="preserve">AIB argues that they had withdrawn tracker rates </w:t>
      </w:r>
      <w:r>
        <w:t xml:space="preserve">and so no longer had a prevailing rate </w:t>
      </w:r>
    </w:p>
    <w:p w14:paraId="721C4809" w14:textId="77777777" w:rsidR="000A2034" w:rsidRPr="00E7191C" w:rsidRDefault="000A2034" w:rsidP="000A2034">
      <w:r w:rsidRPr="00E7191C">
        <w:t xml:space="preserve">In their Redress Letter AIB said </w:t>
      </w:r>
    </w:p>
    <w:p w14:paraId="4204666C" w14:textId="58C5B5A4" w:rsidR="000A2034" w:rsidRDefault="00030B0B" w:rsidP="000A2034">
      <w:r>
        <w:t xml:space="preserve">“…when </w:t>
      </w:r>
      <w:r w:rsidR="000A2034" w:rsidRPr="00E7191C">
        <w:t>your fixed rate period expired, we had withdrawn tracker rates…”</w:t>
      </w:r>
    </w:p>
    <w:p w14:paraId="3DDA1F77" w14:textId="77777777" w:rsidR="000A2034" w:rsidRDefault="000A2034" w:rsidP="000A2034">
      <w:r>
        <w:t xml:space="preserve">AIB were entitled to withdraw tracker rates for new mortgage applicants but they were not entitled to withdraw the prevailing tracker rate for existing customers rolling off fixed rates. They were wrong to stop offering this rate to existing customers. That was a breach of an inherent and fundamental element of the contract. </w:t>
      </w:r>
    </w:p>
    <w:p w14:paraId="73F5F716" w14:textId="77777777" w:rsidR="000A2034" w:rsidRDefault="000A2034" w:rsidP="000A2034">
      <w:r w:rsidRPr="00E7191C">
        <w:rPr>
          <w:noProof/>
          <w:lang w:eastAsia="en-IE"/>
        </w:rPr>
        <w:lastRenderedPageBreak/>
        <w:drawing>
          <wp:inline distT="0" distB="0" distL="0" distR="0" wp14:anchorId="0D4E9AFE" wp14:editId="1B9CBC45">
            <wp:extent cx="5324006" cy="3201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25670" cy="3202129"/>
                    </a:xfrm>
                    <a:prstGeom prst="rect">
                      <a:avLst/>
                    </a:prstGeom>
                  </pic:spPr>
                </pic:pic>
              </a:graphicData>
            </a:graphic>
          </wp:inline>
        </w:drawing>
      </w:r>
    </w:p>
    <w:p w14:paraId="3E15058C" w14:textId="77777777" w:rsidR="000A2034" w:rsidRPr="00E7191C" w:rsidRDefault="000A2034" w:rsidP="000A2034"/>
    <w:p w14:paraId="47829DC2" w14:textId="77777777" w:rsidR="000A2034" w:rsidRDefault="000A2034" w:rsidP="000A2034">
      <w:r w:rsidRPr="00E7191C">
        <w:t xml:space="preserve">The press release did not refer to the cohort of customers who had drawn down their mortgages on fixed rates who had a right to be offered a tracker.  There was no need to make </w:t>
      </w:r>
      <w:r>
        <w:t xml:space="preserve">such a reference as their right to the choice of a tracker rate was not affected by AIB’s decision to stop offering the product to new customers. </w:t>
      </w:r>
    </w:p>
    <w:p w14:paraId="78EAE368" w14:textId="77777777" w:rsidR="000A2034" w:rsidRDefault="000A2034" w:rsidP="000A2034">
      <w:r>
        <w:t xml:space="preserve">In December 2013 AIB changed the then prevailing tracker rate for customers whose fixed rate period ended after that date, but they did not re-introduce the product for new mortgage applicants. It is very evident based on this that AIB clearly differentiates between the two cohorts of customers – new applicants for mortgages who have no rights to a tracker rate and existing customers rolling off fixed rates who do have a right to a tracker mortgage at the then prevailing rate. </w:t>
      </w:r>
    </w:p>
    <w:p w14:paraId="6622F501" w14:textId="77777777" w:rsidR="000A2034" w:rsidRPr="006B3459" w:rsidRDefault="000A2034" w:rsidP="000A2034">
      <w:pPr>
        <w:rPr>
          <w:b/>
        </w:rPr>
      </w:pPr>
      <w:r>
        <w:rPr>
          <w:b/>
        </w:rPr>
        <w:t>AIB implies that the t</w:t>
      </w:r>
      <w:r w:rsidRPr="006B3459">
        <w:rPr>
          <w:b/>
        </w:rPr>
        <w:t>he</w:t>
      </w:r>
      <w:r>
        <w:rPr>
          <w:b/>
        </w:rPr>
        <w:t>n</w:t>
      </w:r>
      <w:r w:rsidRPr="006B3459">
        <w:rPr>
          <w:b/>
        </w:rPr>
        <w:t xml:space="preserve"> prevailing rate means the </w:t>
      </w:r>
      <w:r>
        <w:rPr>
          <w:b/>
        </w:rPr>
        <w:t>rate on offer to new customers</w:t>
      </w:r>
    </w:p>
    <w:p w14:paraId="661E1AAD" w14:textId="77777777" w:rsidR="000A2034" w:rsidRDefault="000A2034" w:rsidP="000A2034">
      <w:r>
        <w:t xml:space="preserve">AIB implies </w:t>
      </w:r>
      <w:r w:rsidRPr="00E7191C">
        <w:t xml:space="preserve">that because they no longer offered </w:t>
      </w:r>
      <w:r>
        <w:t>the tracker mortgage product</w:t>
      </w:r>
      <w:r w:rsidRPr="00E7191C">
        <w:t xml:space="preserve"> to new customers that they no longer had a prevailing tracker rate for existing customers. This just does not follow. </w:t>
      </w:r>
    </w:p>
    <w:p w14:paraId="2BF24D98" w14:textId="77777777" w:rsidR="000A2034" w:rsidRPr="00512108" w:rsidRDefault="000A2034" w:rsidP="000A2034">
      <w:r>
        <w:t>Th</w:t>
      </w:r>
      <w:r w:rsidRPr="00512108">
        <w:t>e mortgage contract di</w:t>
      </w:r>
      <w:r>
        <w:t xml:space="preserve">d not define “prevailing rate”. It certainly did not define it </w:t>
      </w:r>
      <w:r w:rsidRPr="00512108">
        <w:t>as the</w:t>
      </w:r>
      <w:r>
        <w:t xml:space="preserve"> rate on offer to new customers.</w:t>
      </w:r>
    </w:p>
    <w:p w14:paraId="09978588" w14:textId="30BA03B0" w:rsidR="000A2034" w:rsidRPr="00E7191C" w:rsidRDefault="000A2034" w:rsidP="000A2034">
      <w:r>
        <w:t xml:space="preserve">There is simply nothing in </w:t>
      </w:r>
      <w:r w:rsidR="00030B0B">
        <w:t>my contract</w:t>
      </w:r>
      <w:r>
        <w:t xml:space="preserve"> which links the then prevailing tracker rate to the rate on offer to new customers. </w:t>
      </w:r>
    </w:p>
    <w:p w14:paraId="14EA668F" w14:textId="77777777" w:rsidR="000A2034" w:rsidRPr="00E7191C" w:rsidRDefault="000A2034" w:rsidP="000A2034">
      <w:r w:rsidRPr="00E7191C">
        <w:t xml:space="preserve">If it had been AIB’s intention that existing customers could only avail of tracker mortgage rates on expiry of their fixed term, if they were still offering them to new customers, then they should have </w:t>
      </w:r>
      <w:r w:rsidRPr="00AA69D6">
        <w:rPr>
          <w:i/>
        </w:rPr>
        <w:t>explicitly</w:t>
      </w:r>
      <w:r w:rsidRPr="00E7191C">
        <w:t xml:space="preserve"> said so in their terms and conditions. </w:t>
      </w:r>
    </w:p>
    <w:p w14:paraId="7F6D3F9B" w14:textId="77777777" w:rsidR="000A2034" w:rsidRPr="00E7191C" w:rsidRDefault="000A2034" w:rsidP="000A2034">
      <w:r w:rsidRPr="00E7191C">
        <w:t>Clause 3.2 should have read:</w:t>
      </w:r>
    </w:p>
    <w:p w14:paraId="1D2E1E56" w14:textId="77777777" w:rsidR="000A2034" w:rsidRDefault="000A2034" w:rsidP="000A2034">
      <w:r w:rsidRPr="00E7191C">
        <w:t xml:space="preserve">“c) conversion to a tracker interest rate Mortgage loan at the Bank’s then prevailing rate on offer to new customers, provided that that the bank is still offering trackers to new customers on that date.  If the bank is no longer offering trackers to new customers, then you will not be offered a tracker </w:t>
      </w:r>
      <w:r w:rsidRPr="00E7191C">
        <w:lastRenderedPageBreak/>
        <w:t>rate at the end of the fixed rate period and you may choose between our standard variable rates and fixed rates, if they are available”</w:t>
      </w:r>
    </w:p>
    <w:p w14:paraId="07CAF3EB" w14:textId="77777777" w:rsidR="000A2034" w:rsidRDefault="000A2034"/>
    <w:p w14:paraId="657DC510" w14:textId="114E6209" w:rsidR="008270D3" w:rsidRPr="000A2034" w:rsidRDefault="000A2034">
      <w:pPr>
        <w:rPr>
          <w:b/>
        </w:rPr>
      </w:pPr>
      <w:r>
        <w:rPr>
          <w:b/>
        </w:rPr>
        <w:t xml:space="preserve">The history of the AIB prevailing rate </w:t>
      </w:r>
    </w:p>
    <w:p w14:paraId="61D25D53" w14:textId="05DCEE1A" w:rsidR="007B1A57" w:rsidRDefault="00A06851">
      <w:r>
        <w:t>AIB introduced tracker mortgages in 200</w:t>
      </w:r>
      <w:r w:rsidR="009B599C">
        <w:t>3</w:t>
      </w:r>
      <w:r>
        <w:t>.</w:t>
      </w:r>
      <w:r w:rsidR="001075C3">
        <w:t xml:space="preserve"> </w:t>
      </w:r>
      <w:r>
        <w:t xml:space="preserve">From time to time, </w:t>
      </w:r>
      <w:r w:rsidR="001075C3">
        <w:t>AIB</w:t>
      </w:r>
      <w:r w:rsidR="002201FE">
        <w:t xml:space="preserve"> changed the</w:t>
      </w:r>
      <w:r w:rsidR="008270D3">
        <w:t xml:space="preserve"> prevailing</w:t>
      </w:r>
      <w:r w:rsidR="002201FE">
        <w:t xml:space="preserve"> </w:t>
      </w:r>
      <w:r w:rsidR="007B1A57">
        <w:t xml:space="preserve">tracker </w:t>
      </w:r>
      <w:r w:rsidR="002201FE">
        <w:t>margins</w:t>
      </w:r>
      <w:r w:rsidR="0010212A">
        <w:t xml:space="preserve"> which they offered to</w:t>
      </w:r>
      <w:r w:rsidR="00614040">
        <w:t xml:space="preserve"> </w:t>
      </w:r>
      <w:r w:rsidR="007B1A57">
        <w:t>customers rolling off fixed rates.</w:t>
      </w:r>
    </w:p>
    <w:p w14:paraId="4F6DCBBE" w14:textId="52A6A000" w:rsidR="00E14903" w:rsidRDefault="007B1A57" w:rsidP="0006733C">
      <w:r>
        <w:t xml:space="preserve">In June 2008 they increased the margin on tracker mortgages with LTVs in excess of 80% to 1.5%. </w:t>
      </w:r>
      <w:r w:rsidR="003B7EF2">
        <w:t xml:space="preserve">They next changed this margin in December 2013. </w:t>
      </w:r>
    </w:p>
    <w:p w14:paraId="1AEC8FEF" w14:textId="5E0BC0E9" w:rsidR="0006733C" w:rsidRDefault="0006733C" w:rsidP="0006733C">
      <w:r>
        <w:rPr>
          <w:noProof/>
          <w:lang w:eastAsia="en-IE"/>
        </w:rPr>
        <w:drawing>
          <wp:inline distT="0" distB="0" distL="0" distR="0" wp14:anchorId="03F49951" wp14:editId="398973AF">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B2C3AE5" w14:textId="77777777" w:rsidR="00030B0B" w:rsidRDefault="00030B0B"/>
    <w:p w14:paraId="02D9662C" w14:textId="32258C06" w:rsidR="00A06851" w:rsidRDefault="000A2034">
      <w:proofErr w:type="gramStart"/>
      <w:r>
        <w:t xml:space="preserve">My </w:t>
      </w:r>
      <w:r w:rsidR="003B7EF2">
        <w:t xml:space="preserve"> fixed</w:t>
      </w:r>
      <w:proofErr w:type="gramEnd"/>
      <w:r w:rsidR="003B7EF2">
        <w:t xml:space="preserve"> rate ended in </w:t>
      </w:r>
      <w:r>
        <w:t xml:space="preserve">x </w:t>
      </w:r>
      <w:r w:rsidR="003B7EF2">
        <w:t xml:space="preserve">, so as </w:t>
      </w:r>
      <w:r>
        <w:t>I</w:t>
      </w:r>
      <w:r w:rsidR="002201FE">
        <w:t xml:space="preserve"> had an LTV in excess of 80%, the then</w:t>
      </w:r>
      <w:r w:rsidR="00A06851">
        <w:t xml:space="preserve"> prevailing</w:t>
      </w:r>
      <w:r w:rsidR="001075C3">
        <w:t xml:space="preserve"> </w:t>
      </w:r>
      <w:r w:rsidR="00A06851">
        <w:t>rate</w:t>
      </w:r>
      <w:r w:rsidR="002201FE">
        <w:t xml:space="preserve"> for </w:t>
      </w:r>
      <w:r>
        <w:t xml:space="preserve">my </w:t>
      </w:r>
      <w:r w:rsidR="003B7EF2">
        <w:t xml:space="preserve"> </w:t>
      </w:r>
      <w:r w:rsidR="00A06851">
        <w:t xml:space="preserve">was ECB +1.5%. </w:t>
      </w:r>
      <w:r w:rsidR="00030B0B">
        <w:t>I should</w:t>
      </w:r>
      <w:r w:rsidR="00A06851">
        <w:t xml:space="preserve"> have been offered this rate. </w:t>
      </w:r>
    </w:p>
    <w:p w14:paraId="222F01FB" w14:textId="49CC9C72" w:rsidR="003B7EF2" w:rsidRDefault="00A06851">
      <w:pPr>
        <w:rPr>
          <w:b/>
        </w:rPr>
      </w:pPr>
      <w:r>
        <w:t xml:space="preserve">AIB did not do so. So to fully redress </w:t>
      </w:r>
      <w:r w:rsidR="000A2034">
        <w:t>me,</w:t>
      </w:r>
      <w:r>
        <w:t xml:space="preserve"> they need to recalculate </w:t>
      </w:r>
      <w:r w:rsidR="00030B0B">
        <w:t>my mortgage</w:t>
      </w:r>
      <w:r>
        <w:t xml:space="preserve"> from </w:t>
      </w:r>
      <w:r w:rsidR="000A2034">
        <w:t xml:space="preserve">the date the fixed rate ended </w:t>
      </w:r>
      <w:r>
        <w:t xml:space="preserve">and refund the interest overcharged and pay </w:t>
      </w:r>
      <w:r w:rsidR="00030B0B">
        <w:t>me 15</w:t>
      </w:r>
      <w:r>
        <w:t xml:space="preserve">% of the overcharge as compensation. </w:t>
      </w:r>
    </w:p>
    <w:p w14:paraId="6FA56235" w14:textId="7B042A1B" w:rsidR="00A06851" w:rsidRDefault="00A06851" w:rsidP="00F44C06">
      <w:pPr>
        <w:pStyle w:val="Heading2"/>
        <w:rPr>
          <w:rFonts w:asciiTheme="minorHAnsi" w:eastAsiaTheme="minorHAnsi" w:hAnsiTheme="minorHAnsi" w:cstheme="minorBidi"/>
          <w:color w:val="auto"/>
          <w:sz w:val="22"/>
          <w:szCs w:val="22"/>
        </w:rPr>
      </w:pPr>
    </w:p>
    <w:p w14:paraId="3FECA6F2" w14:textId="031FB0EA" w:rsidR="008270D3" w:rsidRDefault="008270D3" w:rsidP="008270D3">
      <w:pPr>
        <w:rPr>
          <w:b/>
        </w:rPr>
      </w:pPr>
      <w:r>
        <w:rPr>
          <w:b/>
        </w:rPr>
        <w:t xml:space="preserve">AIB argues that they did not have a prevailing </w:t>
      </w:r>
      <w:r w:rsidR="0010212A">
        <w:rPr>
          <w:b/>
        </w:rPr>
        <w:t xml:space="preserve">tracker </w:t>
      </w:r>
      <w:r>
        <w:rPr>
          <w:b/>
        </w:rPr>
        <w:t xml:space="preserve">rate to offer </w:t>
      </w:r>
      <w:r w:rsidR="000A2034">
        <w:rPr>
          <w:b/>
        </w:rPr>
        <w:t>me when my fixed rate ended</w:t>
      </w:r>
      <w:r>
        <w:rPr>
          <w:b/>
        </w:rPr>
        <w:t xml:space="preserve"> </w:t>
      </w:r>
    </w:p>
    <w:p w14:paraId="09BC84FE" w14:textId="6E6A0E59" w:rsidR="008270D3" w:rsidRPr="008270D3" w:rsidRDefault="008270D3" w:rsidP="008270D3">
      <w:r>
        <w:t xml:space="preserve">AIB did actually have a prevailing rate and it was 1.5% </w:t>
      </w:r>
    </w:p>
    <w:p w14:paraId="52EDF64D" w14:textId="66EE4CBF" w:rsidR="007B1A57" w:rsidRDefault="007B1A57" w:rsidP="007B1A57">
      <w:r>
        <w:t xml:space="preserve">AIB argues that it is a matter of fact that they did not offer tracker mortgage rates to anyone </w:t>
      </w:r>
      <w:r w:rsidR="000A2034">
        <w:t>after October 2008.</w:t>
      </w:r>
    </w:p>
    <w:p w14:paraId="0E0EBB5F" w14:textId="1BCE5683" w:rsidR="007B1A57" w:rsidRDefault="007B1A57" w:rsidP="007B1A57">
      <w:r>
        <w:t xml:space="preserve">Just because AIB wrongly stopped offering customers the then prevailing </w:t>
      </w:r>
      <w:r w:rsidR="0010212A">
        <w:t>rate</w:t>
      </w:r>
      <w:r>
        <w:t xml:space="preserve"> does not mean that they </w:t>
      </w:r>
      <w:r w:rsidR="0010212A">
        <w:t>stopped having a then</w:t>
      </w:r>
      <w:r>
        <w:t xml:space="preserve"> prevailing rate.  </w:t>
      </w:r>
    </w:p>
    <w:p w14:paraId="6636E55B" w14:textId="6CE95A7B" w:rsidR="007B1A57" w:rsidRDefault="007B1A57" w:rsidP="007B1A57">
      <w:r>
        <w:t xml:space="preserve">The then prevailing tracker rate </w:t>
      </w:r>
      <w:r w:rsidR="003B7EF2">
        <w:t xml:space="preserve">for existing customers </w:t>
      </w:r>
      <w:r>
        <w:t xml:space="preserve">did not vanish into thin air between October 2008 and December 2013.  In October 2008, AIB withdrew the tracker rate products for new mortgage applicants, but the rate continued to prevail for existing customers, even if AIB wrongly </w:t>
      </w:r>
      <w:r w:rsidR="0010212A">
        <w:t>stopped offering</w:t>
      </w:r>
      <w:r>
        <w:t xml:space="preserve"> it to them. </w:t>
      </w:r>
    </w:p>
    <w:p w14:paraId="705FA89C" w14:textId="49827276" w:rsidR="007B1A57" w:rsidRDefault="002A5127" w:rsidP="007B1A57">
      <w:pPr>
        <w:rPr>
          <w:noProof/>
          <w:lang w:eastAsia="en-IE"/>
        </w:rPr>
      </w:pPr>
      <w:r>
        <w:rPr>
          <w:noProof/>
          <w:lang w:eastAsia="en-IE"/>
        </w:rPr>
        <w:lastRenderedPageBreak/>
        <w:t xml:space="preserve">If we accept AIB’s argument that they did not have a prevailing rate, the only reason they didn’t have one is because they broke their contractual obligations to all their customers in not offering a tracker rate. So </w:t>
      </w:r>
      <w:r w:rsidR="00030B0B">
        <w:rPr>
          <w:noProof/>
          <w:lang w:eastAsia="en-IE"/>
        </w:rPr>
        <w:t>AIB would be rewarded</w:t>
      </w:r>
      <w:r>
        <w:rPr>
          <w:noProof/>
          <w:lang w:eastAsia="en-IE"/>
        </w:rPr>
        <w:t xml:space="preserve"> for breaking their contract. This would clearly be an absurd outcome. </w:t>
      </w:r>
    </w:p>
    <w:p w14:paraId="279402A2" w14:textId="5DF9C311" w:rsidR="002A5127" w:rsidRDefault="002A5127" w:rsidP="007B1A57">
      <w:pPr>
        <w:rPr>
          <w:b/>
          <w:noProof/>
          <w:lang w:eastAsia="en-IE"/>
        </w:rPr>
      </w:pPr>
      <w:r>
        <w:rPr>
          <w:b/>
          <w:noProof/>
          <w:lang w:eastAsia="en-IE"/>
        </w:rPr>
        <w:t xml:space="preserve">AIB argues that they withrew the prevailing rate because it would have been prohibitively expensive </w:t>
      </w:r>
    </w:p>
    <w:p w14:paraId="4B9E88D3" w14:textId="5F03287B" w:rsidR="002A5127" w:rsidRDefault="002A5127" w:rsidP="007B1A57">
      <w:pPr>
        <w:rPr>
          <w:noProof/>
          <w:lang w:eastAsia="en-IE"/>
        </w:rPr>
      </w:pPr>
      <w:r>
        <w:rPr>
          <w:noProof/>
          <w:lang w:eastAsia="en-IE"/>
        </w:rPr>
        <w:t xml:space="preserve">AIB were entitled to change the </w:t>
      </w:r>
      <w:r w:rsidR="00E72CF8">
        <w:rPr>
          <w:noProof/>
          <w:lang w:eastAsia="en-IE"/>
        </w:rPr>
        <w:t xml:space="preserve">prevailing </w:t>
      </w:r>
      <w:r>
        <w:rPr>
          <w:noProof/>
          <w:lang w:eastAsia="en-IE"/>
        </w:rPr>
        <w:t>rate</w:t>
      </w:r>
      <w:r w:rsidR="00E72CF8">
        <w:rPr>
          <w:noProof/>
          <w:lang w:eastAsia="en-IE"/>
        </w:rPr>
        <w:t xml:space="preserve"> </w:t>
      </w:r>
      <w:r>
        <w:rPr>
          <w:noProof/>
          <w:lang w:eastAsia="en-IE"/>
        </w:rPr>
        <w:t xml:space="preserve">but they </w:t>
      </w:r>
      <w:r w:rsidR="0034020F">
        <w:rPr>
          <w:noProof/>
          <w:lang w:eastAsia="en-IE"/>
        </w:rPr>
        <w:t>chose</w:t>
      </w:r>
      <w:r>
        <w:rPr>
          <w:noProof/>
          <w:lang w:eastAsia="en-IE"/>
        </w:rPr>
        <w:t xml:space="preserve"> not</w:t>
      </w:r>
      <w:r w:rsidR="0034020F">
        <w:rPr>
          <w:noProof/>
          <w:lang w:eastAsia="en-IE"/>
        </w:rPr>
        <w:t xml:space="preserve"> to</w:t>
      </w:r>
      <w:r>
        <w:rPr>
          <w:noProof/>
          <w:lang w:eastAsia="en-IE"/>
        </w:rPr>
        <w:t xml:space="preserve"> do so. They were not entitled to withdraw the rate. </w:t>
      </w:r>
    </w:p>
    <w:p w14:paraId="5C9032DE" w14:textId="699DE9EE" w:rsidR="002A5127" w:rsidRPr="002A5127" w:rsidRDefault="002A5127" w:rsidP="007B1A57">
      <w:r>
        <w:rPr>
          <w:noProof/>
          <w:lang w:eastAsia="en-IE"/>
        </w:rPr>
        <w:t>That is the deci</w:t>
      </w:r>
      <w:r w:rsidR="00E72CF8">
        <w:rPr>
          <w:noProof/>
          <w:lang w:eastAsia="en-IE"/>
        </w:rPr>
        <w:t xml:space="preserve">sion that they made at the time. They might regret that now, but they should not have punished </w:t>
      </w:r>
      <w:r w:rsidR="00030B0B">
        <w:rPr>
          <w:noProof/>
          <w:lang w:eastAsia="en-IE"/>
        </w:rPr>
        <w:t>me</w:t>
      </w:r>
      <w:r w:rsidR="00E72CF8">
        <w:rPr>
          <w:noProof/>
          <w:lang w:eastAsia="en-IE"/>
        </w:rPr>
        <w:t xml:space="preserve"> for it. </w:t>
      </w:r>
    </w:p>
    <w:p w14:paraId="20D46847" w14:textId="10476666" w:rsidR="007B1A57" w:rsidRDefault="00E72CF8" w:rsidP="007B1A57">
      <w:r>
        <w:t xml:space="preserve">The 1.5% margin continued to prevail until AIB changed it in December 2013. </w:t>
      </w:r>
    </w:p>
    <w:p w14:paraId="24B7523D" w14:textId="6CE25EA7" w:rsidR="001F232C" w:rsidRDefault="001F232C">
      <w:pPr>
        <w:rPr>
          <w:b/>
        </w:rPr>
      </w:pPr>
    </w:p>
    <w:p w14:paraId="0023EFC8" w14:textId="77777777" w:rsidR="001F232C" w:rsidRDefault="001F232C" w:rsidP="001F232C">
      <w:pPr>
        <w:pStyle w:val="Heading1"/>
      </w:pPr>
      <w:r>
        <w:t xml:space="preserve">Summary and Conclusion  </w:t>
      </w:r>
    </w:p>
    <w:p w14:paraId="7DB26A4C" w14:textId="5A7A6A8D" w:rsidR="001F232C" w:rsidRPr="00631BF6" w:rsidRDefault="001F232C" w:rsidP="001F232C">
      <w:pPr>
        <w:pStyle w:val="ListParagraph"/>
        <w:numPr>
          <w:ilvl w:val="0"/>
          <w:numId w:val="5"/>
        </w:numPr>
        <w:spacing w:line="250" w:lineRule="auto"/>
        <w:ind w:right="680"/>
        <w:rPr>
          <w:rFonts w:ascii="Arial" w:eastAsia="Arial" w:hAnsi="Arial" w:cs="Arial"/>
          <w:sz w:val="20"/>
          <w:szCs w:val="20"/>
        </w:rPr>
      </w:pPr>
      <w:r w:rsidRPr="00631BF6">
        <w:rPr>
          <w:rFonts w:ascii="Arial" w:eastAsia="Arial" w:hAnsi="Arial" w:cs="Arial"/>
          <w:sz w:val="20"/>
          <w:szCs w:val="20"/>
        </w:rPr>
        <w:t xml:space="preserve">AIB had a contractual obligation to offer </w:t>
      </w:r>
      <w:r w:rsidR="000A2034">
        <w:rPr>
          <w:rFonts w:ascii="Arial" w:eastAsia="Arial" w:hAnsi="Arial" w:cs="Arial"/>
          <w:sz w:val="20"/>
          <w:szCs w:val="20"/>
        </w:rPr>
        <w:t>me</w:t>
      </w:r>
      <w:r w:rsidRPr="00631BF6">
        <w:rPr>
          <w:rFonts w:ascii="Arial" w:eastAsia="Arial" w:hAnsi="Arial" w:cs="Arial"/>
          <w:sz w:val="20"/>
          <w:szCs w:val="20"/>
        </w:rPr>
        <w:t xml:space="preserve"> a tracker mortgage at the then prevailing rate</w:t>
      </w:r>
    </w:p>
    <w:p w14:paraId="40A4F0FA" w14:textId="77777777" w:rsidR="001F232C" w:rsidRPr="00631BF6" w:rsidRDefault="001F232C" w:rsidP="001F232C">
      <w:pPr>
        <w:pStyle w:val="ListParagraph"/>
        <w:numPr>
          <w:ilvl w:val="0"/>
          <w:numId w:val="5"/>
        </w:numPr>
        <w:spacing w:line="250" w:lineRule="auto"/>
        <w:ind w:right="680"/>
      </w:pPr>
      <w:r w:rsidRPr="00631BF6">
        <w:rPr>
          <w:rFonts w:ascii="Arial" w:eastAsia="Arial" w:hAnsi="Arial" w:cs="Arial"/>
          <w:sz w:val="20"/>
          <w:szCs w:val="20"/>
        </w:rPr>
        <w:t xml:space="preserve">They had a then prevailing tracker rate of 1.5% which prevailed from June 2008 until they changed it in December 2013 </w:t>
      </w:r>
    </w:p>
    <w:p w14:paraId="12BD895B" w14:textId="026D3BF6" w:rsidR="001F232C" w:rsidRPr="00631BF6" w:rsidRDefault="001F232C" w:rsidP="001F232C">
      <w:pPr>
        <w:pStyle w:val="ListParagraph"/>
        <w:numPr>
          <w:ilvl w:val="0"/>
          <w:numId w:val="5"/>
        </w:numPr>
        <w:spacing w:line="250" w:lineRule="auto"/>
        <w:ind w:right="680"/>
        <w:rPr>
          <w:rFonts w:ascii="Arial" w:eastAsia="Arial" w:hAnsi="Arial" w:cs="Arial"/>
          <w:sz w:val="20"/>
          <w:szCs w:val="20"/>
        </w:rPr>
      </w:pPr>
      <w:r w:rsidRPr="00631BF6">
        <w:rPr>
          <w:rFonts w:ascii="Arial" w:eastAsia="Arial" w:hAnsi="Arial" w:cs="Arial"/>
          <w:sz w:val="20"/>
          <w:szCs w:val="20"/>
        </w:rPr>
        <w:t xml:space="preserve">AIB claims that they had no prevailing rate because they had withdrawn it for new customers. </w:t>
      </w:r>
      <w:r w:rsidRPr="00631BF6">
        <w:t xml:space="preserve">There is simply nothing in </w:t>
      </w:r>
      <w:r w:rsidR="000A2034">
        <w:t>my</w:t>
      </w:r>
      <w:r w:rsidRPr="00631BF6">
        <w:t xml:space="preserve"> contract which links the then prevailing tracker rate to the rate on offer to new customers. </w:t>
      </w:r>
    </w:p>
    <w:p w14:paraId="0C4B1611" w14:textId="151D7C91" w:rsidR="001F232C" w:rsidRPr="00631BF6" w:rsidRDefault="001F232C" w:rsidP="001F232C">
      <w:pPr>
        <w:pStyle w:val="ListParagraph"/>
        <w:numPr>
          <w:ilvl w:val="0"/>
          <w:numId w:val="5"/>
        </w:numPr>
      </w:pPr>
      <w:r w:rsidRPr="00631BF6">
        <w:t xml:space="preserve">AIB claims:  “We did not have a then prevailing tracker rate available to offer </w:t>
      </w:r>
      <w:r w:rsidR="000A2034">
        <w:t>you</w:t>
      </w:r>
      <w:r w:rsidRPr="00631BF6">
        <w:t xml:space="preserve">.”  What they </w:t>
      </w:r>
      <w:r w:rsidR="000A2034">
        <w:t>should have said</w:t>
      </w:r>
      <w:r w:rsidRPr="00631BF6">
        <w:t xml:space="preserve"> is</w:t>
      </w:r>
      <w:r w:rsidR="0006733C">
        <w:t>:</w:t>
      </w:r>
      <w:r w:rsidRPr="00631BF6">
        <w:t xml:space="preserve">  “We did not offer </w:t>
      </w:r>
      <w:r w:rsidR="000A2034">
        <w:t>you</w:t>
      </w:r>
      <w:r w:rsidRPr="00631BF6">
        <w:t xml:space="preserve"> th</w:t>
      </w:r>
      <w:r w:rsidR="0006733C">
        <w:t>e then prevailing tracker rate”.</w:t>
      </w:r>
    </w:p>
    <w:p w14:paraId="379A51E2" w14:textId="6CF0A3C3" w:rsidR="001F232C" w:rsidRDefault="001F232C" w:rsidP="001F232C">
      <w:r>
        <w:t xml:space="preserve">If the Ombudsman agrees with </w:t>
      </w:r>
      <w:r w:rsidR="000A2034">
        <w:t>my</w:t>
      </w:r>
      <w:r>
        <w:t xml:space="preserve"> argument that AIB was wrong in not offering  </w:t>
      </w:r>
      <w:r w:rsidR="000A2034">
        <w:t>me</w:t>
      </w:r>
      <w:r>
        <w:t xml:space="preserve"> the option of choosing the prevailing tracker rate and that they still had a  prevailing tracker rate of  ECB +1.5%, then AIB will be putting </w:t>
      </w:r>
      <w:r w:rsidR="00D95F5E">
        <w:t>me</w:t>
      </w:r>
      <w:r>
        <w:t xml:space="preserve"> back on a rate comparable with the average mortgage rates in the eurozone. For example, the average variable rate for new business as of February 2019 was 1.76%. </w:t>
      </w:r>
    </w:p>
    <w:p w14:paraId="36441E6C" w14:textId="0E42D4E4" w:rsidR="001F232C" w:rsidRDefault="001F232C" w:rsidP="001F232C">
      <w:r>
        <w:t xml:space="preserve">On the other hand, if the Ombudsman finds that although AIB broke their contract by not offering </w:t>
      </w:r>
      <w:r w:rsidR="00D95F5E">
        <w:t>me</w:t>
      </w:r>
      <w:r>
        <w:t xml:space="preserve"> a tracker mortgage rate, the Ombudsman agrees with AIB that they did not actually have a prevailing tracker rate when </w:t>
      </w:r>
      <w:r w:rsidR="00D95F5E">
        <w:t>my</w:t>
      </w:r>
      <w:r>
        <w:t xml:space="preserve"> fixed rate period ended and furthermore allows AIB to set the prevailing rate retrospectively at its sole discretion, the Ombudsman will be allowing AIB to charge </w:t>
      </w:r>
      <w:r w:rsidR="00D95F5E">
        <w:t>me</w:t>
      </w:r>
      <w:r>
        <w:t xml:space="preserve"> one of the highest mortgage rates in the eurozone. </w:t>
      </w:r>
      <w:proofErr w:type="gramStart"/>
      <w:r w:rsidR="00D95F5E">
        <w:t xml:space="preserve">I </w:t>
      </w:r>
      <w:r>
        <w:t xml:space="preserve"> would</w:t>
      </w:r>
      <w:proofErr w:type="gramEnd"/>
      <w:r>
        <w:t xml:space="preserve"> be paying the Standard Variable Rate of 3.15% today vs. the ECB average of 1.76%. </w:t>
      </w:r>
    </w:p>
    <w:p w14:paraId="6E4FEE79" w14:textId="5FEF8A74" w:rsidR="001F232C" w:rsidRDefault="001F232C" w:rsidP="001F232C">
      <w:r>
        <w:t xml:space="preserve">It cannot be right that a failure on AIB’s part can benefit them to such a huge extent at </w:t>
      </w:r>
      <w:r w:rsidR="00030B0B">
        <w:t>my</w:t>
      </w:r>
      <w:r>
        <w:t xml:space="preserve"> expense.</w:t>
      </w:r>
    </w:p>
    <w:p w14:paraId="0B7C7E9D" w14:textId="77777777" w:rsidR="001F232C" w:rsidRDefault="001F232C" w:rsidP="001F232C"/>
    <w:p w14:paraId="156F48EB" w14:textId="62C586EC" w:rsidR="001F232C" w:rsidRDefault="001F232C" w:rsidP="001F232C">
      <w:bookmarkStart w:id="0" w:name="_GoBack"/>
      <w:bookmarkEnd w:id="0"/>
    </w:p>
    <w:p w14:paraId="0E4820ED" w14:textId="77777777" w:rsidR="00631BF6" w:rsidRDefault="00631BF6" w:rsidP="005E03B6">
      <w:pPr>
        <w:spacing w:line="250" w:lineRule="auto"/>
        <w:ind w:right="680"/>
        <w:rPr>
          <w:b/>
        </w:rPr>
      </w:pPr>
    </w:p>
    <w:p w14:paraId="27DABCE9" w14:textId="77777777" w:rsidR="00631BF6" w:rsidRDefault="00631BF6" w:rsidP="005E03B6">
      <w:pPr>
        <w:spacing w:line="250" w:lineRule="auto"/>
        <w:ind w:right="680"/>
        <w:rPr>
          <w:b/>
        </w:rPr>
      </w:pPr>
    </w:p>
    <w:p w14:paraId="2BD106AE" w14:textId="77777777" w:rsidR="00631BF6" w:rsidRPr="00880110" w:rsidRDefault="00631BF6" w:rsidP="00631BF6">
      <w:pPr>
        <w:pStyle w:val="ListParagraph"/>
        <w:spacing w:line="250" w:lineRule="auto"/>
        <w:ind w:right="680"/>
        <w:rPr>
          <w:rFonts w:ascii="Arial" w:eastAsia="Arial" w:hAnsi="Arial" w:cs="Arial"/>
          <w:color w:val="FF0000"/>
          <w:sz w:val="20"/>
          <w:szCs w:val="20"/>
        </w:rPr>
      </w:pPr>
    </w:p>
    <w:p w14:paraId="0D8E0CD1" w14:textId="77777777" w:rsidR="00631BF6" w:rsidRPr="001F1E81" w:rsidRDefault="00631BF6" w:rsidP="005E03B6">
      <w:pPr>
        <w:spacing w:line="250" w:lineRule="auto"/>
        <w:ind w:right="680"/>
        <w:rPr>
          <w:rFonts w:ascii="Arial" w:eastAsia="Arial" w:hAnsi="Arial" w:cs="Arial"/>
          <w:b/>
          <w:sz w:val="20"/>
          <w:szCs w:val="20"/>
        </w:rPr>
      </w:pPr>
    </w:p>
    <w:sectPr w:rsidR="00631BF6" w:rsidRPr="001F1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7201"/>
    <w:multiLevelType w:val="hybridMultilevel"/>
    <w:tmpl w:val="721AAB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F00E1B"/>
    <w:multiLevelType w:val="hybridMultilevel"/>
    <w:tmpl w:val="C43CBC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428001F"/>
    <w:multiLevelType w:val="hybridMultilevel"/>
    <w:tmpl w:val="BBF42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942591"/>
    <w:multiLevelType w:val="hybridMultilevel"/>
    <w:tmpl w:val="721AAB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4B3CD7"/>
    <w:multiLevelType w:val="hybridMultilevel"/>
    <w:tmpl w:val="84E829C8"/>
    <w:lvl w:ilvl="0" w:tplc="51A220AA">
      <w:start w:val="1"/>
      <w:numFmt w:val="lowerLetter"/>
      <w:lvlText w:val="%1)"/>
      <w:lvlJc w:val="left"/>
      <w:pPr>
        <w:ind w:left="1224" w:hanging="360"/>
      </w:pPr>
      <w:rPr>
        <w:rFonts w:hint="default"/>
      </w:rPr>
    </w:lvl>
    <w:lvl w:ilvl="1" w:tplc="18090019" w:tentative="1">
      <w:start w:val="1"/>
      <w:numFmt w:val="lowerLetter"/>
      <w:lvlText w:val="%2."/>
      <w:lvlJc w:val="left"/>
      <w:pPr>
        <w:ind w:left="1944" w:hanging="360"/>
      </w:pPr>
    </w:lvl>
    <w:lvl w:ilvl="2" w:tplc="1809001B" w:tentative="1">
      <w:start w:val="1"/>
      <w:numFmt w:val="lowerRoman"/>
      <w:lvlText w:val="%3."/>
      <w:lvlJc w:val="right"/>
      <w:pPr>
        <w:ind w:left="2664" w:hanging="180"/>
      </w:pPr>
    </w:lvl>
    <w:lvl w:ilvl="3" w:tplc="1809000F" w:tentative="1">
      <w:start w:val="1"/>
      <w:numFmt w:val="decimal"/>
      <w:lvlText w:val="%4."/>
      <w:lvlJc w:val="left"/>
      <w:pPr>
        <w:ind w:left="3384" w:hanging="360"/>
      </w:pPr>
    </w:lvl>
    <w:lvl w:ilvl="4" w:tplc="18090019" w:tentative="1">
      <w:start w:val="1"/>
      <w:numFmt w:val="lowerLetter"/>
      <w:lvlText w:val="%5."/>
      <w:lvlJc w:val="left"/>
      <w:pPr>
        <w:ind w:left="4104" w:hanging="360"/>
      </w:pPr>
    </w:lvl>
    <w:lvl w:ilvl="5" w:tplc="1809001B" w:tentative="1">
      <w:start w:val="1"/>
      <w:numFmt w:val="lowerRoman"/>
      <w:lvlText w:val="%6."/>
      <w:lvlJc w:val="right"/>
      <w:pPr>
        <w:ind w:left="4824" w:hanging="180"/>
      </w:pPr>
    </w:lvl>
    <w:lvl w:ilvl="6" w:tplc="1809000F" w:tentative="1">
      <w:start w:val="1"/>
      <w:numFmt w:val="decimal"/>
      <w:lvlText w:val="%7."/>
      <w:lvlJc w:val="left"/>
      <w:pPr>
        <w:ind w:left="5544" w:hanging="360"/>
      </w:pPr>
    </w:lvl>
    <w:lvl w:ilvl="7" w:tplc="18090019" w:tentative="1">
      <w:start w:val="1"/>
      <w:numFmt w:val="lowerLetter"/>
      <w:lvlText w:val="%8."/>
      <w:lvlJc w:val="left"/>
      <w:pPr>
        <w:ind w:left="6264" w:hanging="360"/>
      </w:pPr>
    </w:lvl>
    <w:lvl w:ilvl="8" w:tplc="1809001B" w:tentative="1">
      <w:start w:val="1"/>
      <w:numFmt w:val="lowerRoman"/>
      <w:lvlText w:val="%9."/>
      <w:lvlJc w:val="right"/>
      <w:pPr>
        <w:ind w:left="6984" w:hanging="180"/>
      </w:pPr>
    </w:lvl>
  </w:abstractNum>
  <w:abstractNum w:abstractNumId="5" w15:restartNumberingAfterBreak="0">
    <w:nsid w:val="79D770F0"/>
    <w:multiLevelType w:val="hybridMultilevel"/>
    <w:tmpl w:val="024C9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1"/>
    <w:rsid w:val="000148DF"/>
    <w:rsid w:val="0002166B"/>
    <w:rsid w:val="00026C6F"/>
    <w:rsid w:val="00030B0B"/>
    <w:rsid w:val="00040C63"/>
    <w:rsid w:val="0006733C"/>
    <w:rsid w:val="000A2034"/>
    <w:rsid w:val="000C710B"/>
    <w:rsid w:val="000D632D"/>
    <w:rsid w:val="0010212A"/>
    <w:rsid w:val="001075C3"/>
    <w:rsid w:val="0016457D"/>
    <w:rsid w:val="001762B3"/>
    <w:rsid w:val="0019162E"/>
    <w:rsid w:val="001F1E81"/>
    <w:rsid w:val="001F232C"/>
    <w:rsid w:val="002201FE"/>
    <w:rsid w:val="002A5127"/>
    <w:rsid w:val="002C19EF"/>
    <w:rsid w:val="002D6AEA"/>
    <w:rsid w:val="0030177E"/>
    <w:rsid w:val="00307B17"/>
    <w:rsid w:val="0034020F"/>
    <w:rsid w:val="0034406B"/>
    <w:rsid w:val="0035732E"/>
    <w:rsid w:val="00365EAF"/>
    <w:rsid w:val="003807AD"/>
    <w:rsid w:val="003A0BF1"/>
    <w:rsid w:val="003B7EF2"/>
    <w:rsid w:val="003C769A"/>
    <w:rsid w:val="003E1838"/>
    <w:rsid w:val="003F38D4"/>
    <w:rsid w:val="003F79A1"/>
    <w:rsid w:val="00423581"/>
    <w:rsid w:val="00451C1E"/>
    <w:rsid w:val="004538F4"/>
    <w:rsid w:val="004D5287"/>
    <w:rsid w:val="00512108"/>
    <w:rsid w:val="005240DA"/>
    <w:rsid w:val="005514FA"/>
    <w:rsid w:val="005774CD"/>
    <w:rsid w:val="0058087C"/>
    <w:rsid w:val="00586B3E"/>
    <w:rsid w:val="005A0FB6"/>
    <w:rsid w:val="005E03B6"/>
    <w:rsid w:val="00614040"/>
    <w:rsid w:val="00631BF6"/>
    <w:rsid w:val="0063363C"/>
    <w:rsid w:val="00646659"/>
    <w:rsid w:val="0065066A"/>
    <w:rsid w:val="0069609C"/>
    <w:rsid w:val="006B3459"/>
    <w:rsid w:val="006D2FCE"/>
    <w:rsid w:val="0072579D"/>
    <w:rsid w:val="007736B1"/>
    <w:rsid w:val="007841DC"/>
    <w:rsid w:val="007B1A57"/>
    <w:rsid w:val="007E2931"/>
    <w:rsid w:val="007E487B"/>
    <w:rsid w:val="00822A7B"/>
    <w:rsid w:val="008270D3"/>
    <w:rsid w:val="00890A90"/>
    <w:rsid w:val="008A7BBB"/>
    <w:rsid w:val="008D7236"/>
    <w:rsid w:val="00933E57"/>
    <w:rsid w:val="00957F43"/>
    <w:rsid w:val="009B599C"/>
    <w:rsid w:val="009B7144"/>
    <w:rsid w:val="009E30A5"/>
    <w:rsid w:val="009E66C8"/>
    <w:rsid w:val="009E766F"/>
    <w:rsid w:val="00A06851"/>
    <w:rsid w:val="00A66BF2"/>
    <w:rsid w:val="00A85F28"/>
    <w:rsid w:val="00AA69D6"/>
    <w:rsid w:val="00B504CC"/>
    <w:rsid w:val="00B57613"/>
    <w:rsid w:val="00B618D2"/>
    <w:rsid w:val="00B62686"/>
    <w:rsid w:val="00B82B7A"/>
    <w:rsid w:val="00BC26AF"/>
    <w:rsid w:val="00BD202D"/>
    <w:rsid w:val="00BD4A0C"/>
    <w:rsid w:val="00C80E0D"/>
    <w:rsid w:val="00CD71D4"/>
    <w:rsid w:val="00D95F5E"/>
    <w:rsid w:val="00E14903"/>
    <w:rsid w:val="00E5426F"/>
    <w:rsid w:val="00E553A7"/>
    <w:rsid w:val="00E70C8E"/>
    <w:rsid w:val="00E7191C"/>
    <w:rsid w:val="00E72CF8"/>
    <w:rsid w:val="00E964E1"/>
    <w:rsid w:val="00EA4872"/>
    <w:rsid w:val="00F24204"/>
    <w:rsid w:val="00F44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84E8"/>
  <w15:chartTrackingRefBased/>
  <w15:docId w15:val="{58A371D9-9EAF-4B84-8BD9-E9AB572F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5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A48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4872"/>
    <w:rPr>
      <w:i/>
      <w:iCs/>
      <w:color w:val="404040" w:themeColor="text1" w:themeTint="BF"/>
    </w:rPr>
  </w:style>
  <w:style w:type="paragraph" w:styleId="ListParagraph">
    <w:name w:val="List Paragraph"/>
    <w:basedOn w:val="Normal"/>
    <w:uiPriority w:val="34"/>
    <w:qFormat/>
    <w:rsid w:val="0034406B"/>
    <w:pPr>
      <w:ind w:left="720"/>
      <w:contextualSpacing/>
    </w:pPr>
  </w:style>
  <w:style w:type="character" w:customStyle="1" w:styleId="Heading1Char">
    <w:name w:val="Heading 1 Char"/>
    <w:basedOn w:val="DefaultParagraphFont"/>
    <w:link w:val="Heading1"/>
    <w:uiPriority w:val="9"/>
    <w:rsid w:val="00E553A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C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AF"/>
    <w:rPr>
      <w:rFonts w:ascii="Segoe UI" w:hAnsi="Segoe UI" w:cs="Segoe UI"/>
      <w:sz w:val="18"/>
      <w:szCs w:val="18"/>
    </w:rPr>
  </w:style>
  <w:style w:type="character" w:customStyle="1" w:styleId="Heading2Char">
    <w:name w:val="Heading 2 Char"/>
    <w:basedOn w:val="DefaultParagraphFont"/>
    <w:link w:val="Heading2"/>
    <w:uiPriority w:val="9"/>
    <w:rsid w:val="00F44C0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31BF6"/>
    <w:rPr>
      <w:sz w:val="18"/>
      <w:szCs w:val="18"/>
    </w:rPr>
  </w:style>
  <w:style w:type="paragraph" w:styleId="CommentText">
    <w:name w:val="annotation text"/>
    <w:basedOn w:val="Normal"/>
    <w:link w:val="CommentTextChar"/>
    <w:uiPriority w:val="99"/>
    <w:semiHidden/>
    <w:unhideWhenUsed/>
    <w:rsid w:val="00631BF6"/>
    <w:pPr>
      <w:spacing w:line="240" w:lineRule="auto"/>
    </w:pPr>
    <w:rPr>
      <w:sz w:val="24"/>
      <w:szCs w:val="24"/>
    </w:rPr>
  </w:style>
  <w:style w:type="character" w:customStyle="1" w:styleId="CommentTextChar">
    <w:name w:val="Comment Text Char"/>
    <w:basedOn w:val="DefaultParagraphFont"/>
    <w:link w:val="CommentText"/>
    <w:uiPriority w:val="99"/>
    <w:semiHidden/>
    <w:rsid w:val="00631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endan\Documents\Askaboutmoney\Trackers\AIB%20tracker%20redress%20Group\1615%20Group\Submission%20to%20Ombudsman\History%20of%20prevailing%20r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Prevailing tracker</a:t>
            </a:r>
            <a:r>
              <a:rPr lang="en-US" baseline="0"/>
              <a:t> margin for &gt;80% LTV</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38100" cap="rnd">
              <a:solidFill>
                <a:srgbClr val="FF0000"/>
              </a:solidFill>
              <a:round/>
            </a:ln>
            <a:effectLst/>
          </c:spPr>
          <c:marker>
            <c:symbol val="none"/>
          </c:marker>
          <c:cat>
            <c:numRef>
              <c:f>Sheet1!$A$3:$A$16</c:f>
              <c:numCache>
                <c:formatCode>mmm\-yy</c:formatCode>
                <c:ptCount val="14"/>
                <c:pt idx="0">
                  <c:v>37681</c:v>
                </c:pt>
                <c:pt idx="1">
                  <c:v>37987</c:v>
                </c:pt>
                <c:pt idx="2">
                  <c:v>37987</c:v>
                </c:pt>
                <c:pt idx="3">
                  <c:v>39114</c:v>
                </c:pt>
                <c:pt idx="4">
                  <c:v>39114</c:v>
                </c:pt>
                <c:pt idx="5">
                  <c:v>39600</c:v>
                </c:pt>
                <c:pt idx="6">
                  <c:v>39600</c:v>
                </c:pt>
                <c:pt idx="7">
                  <c:v>41609</c:v>
                </c:pt>
                <c:pt idx="8">
                  <c:v>41609</c:v>
                </c:pt>
                <c:pt idx="9">
                  <c:v>42278</c:v>
                </c:pt>
                <c:pt idx="10">
                  <c:v>42278</c:v>
                </c:pt>
                <c:pt idx="11">
                  <c:v>43160</c:v>
                </c:pt>
                <c:pt idx="12">
                  <c:v>43160</c:v>
                </c:pt>
                <c:pt idx="13">
                  <c:v>43525</c:v>
                </c:pt>
              </c:numCache>
            </c:numRef>
          </c:cat>
          <c:val>
            <c:numRef>
              <c:f>Sheet1!$B$3:$B$16</c:f>
              <c:numCache>
                <c:formatCode>0.00%</c:formatCode>
                <c:ptCount val="14"/>
                <c:pt idx="0">
                  <c:v>1.2E-2</c:v>
                </c:pt>
                <c:pt idx="1">
                  <c:v>1.2E-2</c:v>
                </c:pt>
                <c:pt idx="2">
                  <c:v>1.2500000000000001E-2</c:v>
                </c:pt>
                <c:pt idx="3">
                  <c:v>1.2500000000000001E-2</c:v>
                </c:pt>
                <c:pt idx="4">
                  <c:v>1.0999999999999999E-2</c:v>
                </c:pt>
                <c:pt idx="5">
                  <c:v>1.0999999999999999E-2</c:v>
                </c:pt>
                <c:pt idx="6">
                  <c:v>1.4999999999999999E-2</c:v>
                </c:pt>
                <c:pt idx="7">
                  <c:v>1.4999999999999999E-2</c:v>
                </c:pt>
                <c:pt idx="8">
                  <c:v>4.9099999999999998E-2</c:v>
                </c:pt>
                <c:pt idx="9">
                  <c:v>4.9099999999999998E-2</c:v>
                </c:pt>
                <c:pt idx="10">
                  <c:v>3.6700000000000003E-2</c:v>
                </c:pt>
                <c:pt idx="11">
                  <c:v>3.6700000000000003E-2</c:v>
                </c:pt>
                <c:pt idx="12">
                  <c:v>3.32E-2</c:v>
                </c:pt>
                <c:pt idx="13">
                  <c:v>3.32E-2</c:v>
                </c:pt>
              </c:numCache>
            </c:numRef>
          </c:val>
          <c:smooth val="0"/>
        </c:ser>
        <c:dLbls>
          <c:showLegendKey val="0"/>
          <c:showVal val="0"/>
          <c:showCatName val="0"/>
          <c:showSerName val="0"/>
          <c:showPercent val="0"/>
          <c:showBubbleSize val="0"/>
        </c:dLbls>
        <c:smooth val="0"/>
        <c:axId val="486424376"/>
        <c:axId val="472079920"/>
      </c:lineChart>
      <c:dateAx>
        <c:axId val="48642437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079920"/>
        <c:crosses val="autoZero"/>
        <c:auto val="1"/>
        <c:lblOffset val="100"/>
        <c:baseTimeUnit val="days"/>
      </c:dateAx>
      <c:valAx>
        <c:axId val="472079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424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Burgess</dc:creator>
  <cp:keywords/>
  <dc:description/>
  <cp:lastModifiedBy>Brendan Burgess</cp:lastModifiedBy>
  <cp:revision>4</cp:revision>
  <cp:lastPrinted>2019-04-26T07:11:00Z</cp:lastPrinted>
  <dcterms:created xsi:type="dcterms:W3CDTF">2019-11-08T10:02:00Z</dcterms:created>
  <dcterms:modified xsi:type="dcterms:W3CDTF">2019-11-08T10:21:00Z</dcterms:modified>
</cp:coreProperties>
</file>